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414"/>
        <w:gridCol w:w="2603"/>
        <w:gridCol w:w="1551"/>
        <w:gridCol w:w="2326"/>
        <w:gridCol w:w="172"/>
      </w:tblGrid>
      <w:tr>
        <w:tblPrEx>
          <w:shd w:val="clear" w:color="auto" w:fill="d0ddef"/>
        </w:tblPrEx>
        <w:trPr>
          <w:trHeight w:val="267" w:hRule="atLeast"/>
        </w:trPr>
        <w:tc>
          <w:tcPr>
            <w:tcW w:type="dxa" w:w="24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Hoofdteks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</w:pPr>
    </w:p>
    <w:p>
      <w:pPr>
        <w:pStyle w:val="Normal.0"/>
      </w:pPr>
    </w:p>
    <w:tbl>
      <w:tblPr>
        <w:tblW w:w="9066" w:type="dxa"/>
        <w:jc w:val="left"/>
        <w:tblInd w:w="11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414"/>
        <w:gridCol w:w="2603"/>
        <w:gridCol w:w="1551"/>
        <w:gridCol w:w="2326"/>
        <w:gridCol w:w="172"/>
      </w:tblGrid>
      <w:tr>
        <w:tblPrEx>
          <w:shd w:val="clear" w:color="auto" w:fill="d0ddef"/>
        </w:tblPrEx>
        <w:trPr>
          <w:trHeight w:val="262" w:hRule="atLeast"/>
        </w:trPr>
        <w:tc>
          <w:tcPr>
            <w:tcW w:type="dxa" w:w="2414"/>
            <w:tcBorders>
              <w:top w:val="nil"/>
              <w:left w:val="nil"/>
              <w:bottom w:val="single" w:color="d9d9d9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603"/>
            <w:tcBorders>
              <w:top w:val="nil"/>
              <w:left w:val="nil"/>
              <w:bottom w:val="single" w:color="d9d9d9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0"/>
            <w:tcBorders>
              <w:top w:val="nil"/>
              <w:left w:val="nil"/>
              <w:bottom w:val="single" w:color="d9d9d9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26"/>
            <w:tcBorders>
              <w:top w:val="nil"/>
              <w:left w:val="nil"/>
              <w:bottom w:val="single" w:color="d9d9d9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80" w:hRule="atLeast"/>
        </w:trPr>
        <w:tc>
          <w:tcPr>
            <w:tcW w:type="dxa" w:w="8894"/>
            <w:gridSpan w:val="4"/>
            <w:vMerge w:val="restart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b w:val="1"/>
                <w:bCs w:val="1"/>
                <w:outline w:val="0"/>
                <w:color w:val="ff0000"/>
                <w:sz w:val="44"/>
                <w:szCs w:val="44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44"/>
                <w:szCs w:val="44"/>
                <w:u w:color="ff0000"/>
                <w:shd w:val="nil" w:color="auto" w:fill="auto"/>
                <w:rtl w:val="0"/>
                <w:lang w:val="nl-NL"/>
                <w14:textFill>
                  <w14:solidFill>
                    <w14:srgbClr w14:val="FF0000"/>
                  </w14:solidFill>
                </w14:textFill>
              </w:rPr>
              <w:t xml:space="preserve">NZa-tarieven psychotherapeut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0000"/>
                <w:sz w:val="44"/>
                <w:szCs w:val="44"/>
                <w:u w:color="ff0000"/>
                <w:shd w:val="nil" w:color="auto" w:fill="auto"/>
                <w:rtl w:val="0"/>
                <w:lang w:val="nl-NL"/>
                <w14:textFill>
                  <w14:solidFill>
                    <w14:srgbClr w14:val="FF0000"/>
                  </w14:solidFill>
                </w14:textFill>
              </w:rPr>
              <w:t>in kwaliteitsstatuut sectie II</w:t>
            </w:r>
          </w:p>
        </w:tc>
        <w:tc>
          <w:tcPr>
            <w:tcW w:type="dxa" w:w="171"/>
            <w:tcBorders>
              <w:top w:val="nil"/>
              <w:left w:val="single" w:color="d9d9d9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55" w:hRule="atLeast"/>
        </w:trPr>
        <w:tc>
          <w:tcPr>
            <w:tcW w:type="dxa" w:w="8894"/>
            <w:gridSpan w:val="4"/>
            <w:vMerge w:val="continue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</w:tcPr>
          <w:p/>
        </w:tc>
        <w:tc>
          <w:tcPr>
            <w:tcW w:type="dxa" w:w="171"/>
            <w:tcBorders>
              <w:top w:val="nil"/>
              <w:left w:val="single" w:color="d9d9d9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278" w:hRule="atLeast"/>
        </w:trPr>
        <w:tc>
          <w:tcPr>
            <w:tcW w:type="dxa" w:w="2414"/>
            <w:tcBorders>
              <w:top w:val="single" w:color="d9d9d9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937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sz w:val="26"/>
                <w:szCs w:val="26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>Prestatiecode</w:t>
            </w:r>
          </w:p>
        </w:tc>
        <w:tc>
          <w:tcPr>
            <w:tcW w:type="dxa" w:w="2603"/>
            <w:tcBorders>
              <w:top w:val="single" w:color="d9d9d9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937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sz w:val="26"/>
                <w:szCs w:val="26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>Consulttype</w:t>
            </w:r>
          </w:p>
        </w:tc>
        <w:tc>
          <w:tcPr>
            <w:tcW w:type="dxa" w:w="1550"/>
            <w:tcBorders>
              <w:top w:val="single" w:color="d9d9d9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937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sz w:val="26"/>
                <w:szCs w:val="26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 xml:space="preserve"> Duur vanaf </w:t>
            </w:r>
          </w:p>
        </w:tc>
        <w:tc>
          <w:tcPr>
            <w:tcW w:type="dxa" w:w="2326"/>
            <w:tcBorders>
              <w:top w:val="single" w:color="d9d9d9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937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sz w:val="26"/>
                <w:szCs w:val="26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 xml:space="preserve"> Tarief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CO0050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Diagnostiek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5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40,87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CO0115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Behandeling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5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32,61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CO0180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Diagnostiek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15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71,65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CO0245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Behandeling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15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59,17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CO0310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Diagnostiek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122,37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CO0375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Behandeling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103,26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CO0440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Diagnostiek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45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172,98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CO0505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Behandeling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45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147,95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CO0570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Diagnostiek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60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199,34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CO0635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Behandeling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60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176,30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CO0700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Diagnostiek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75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243,62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CO0765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Behandeling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75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217,50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CO0830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Diagnostiek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90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298,32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CO0895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Behandeling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90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265,46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CO0960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Diagnostiek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120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431,13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CO1025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Behandeling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120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391,29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93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937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sz w:val="26"/>
                <w:szCs w:val="26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>Groepsbehandeling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937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sz w:val="26"/>
                <w:szCs w:val="26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>Groepsgrootte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937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sz w:val="26"/>
                <w:szCs w:val="26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 xml:space="preserve"> Blok_duur 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937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sz w:val="26"/>
                <w:szCs w:val="26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 xml:space="preserve"> Tarief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GC0007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2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63,46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GC0015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42,30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GC0023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4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31,73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GC0031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5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25,38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GC0039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6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21,15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GC0047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7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18,13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GC0055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8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15,86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GC0063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9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14,10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GC0071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10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12,69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2" w:hRule="atLeast"/>
        </w:trPr>
        <w:tc>
          <w:tcPr>
            <w:tcW w:type="dxa" w:w="241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60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2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2414"/>
            <w:tcBorders>
              <w:top w:val="nil"/>
              <w:left w:val="nil"/>
              <w:bottom w:val="single" w:color="d9d9d9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lang w:val="nl-NL"/>
              </w:rPr>
            </w:r>
          </w:p>
        </w:tc>
        <w:tc>
          <w:tcPr>
            <w:tcW w:type="dxa" w:w="2603"/>
            <w:tcBorders>
              <w:top w:val="nil"/>
              <w:left w:val="nil"/>
              <w:bottom w:val="single" w:color="d9d9d9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0"/>
            <w:tcBorders>
              <w:top w:val="nil"/>
              <w:left w:val="nil"/>
              <w:bottom w:val="single" w:color="d9d9d9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26"/>
            <w:tcBorders>
              <w:top w:val="nil"/>
              <w:left w:val="nil"/>
              <w:bottom w:val="single" w:color="d9d9d9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80" w:hRule="atLeast"/>
        </w:trPr>
        <w:tc>
          <w:tcPr>
            <w:tcW w:type="dxa" w:w="8894"/>
            <w:gridSpan w:val="4"/>
            <w:vMerge w:val="restart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44"/>
                <w:szCs w:val="44"/>
                <w:u w:color="ff0000"/>
                <w:shd w:val="nil" w:color="auto" w:fill="auto"/>
                <w:rtl w:val="0"/>
                <w:lang w:val="nl-NL"/>
                <w14:textFill>
                  <w14:solidFill>
                    <w14:srgbClr w14:val="FF0000"/>
                  </w14:solidFill>
                </w14:textFill>
              </w:rPr>
              <w:t>NZa-tarieven klinisch (neuro)psycholoog      in kwaliteitsstatuut sectie II</w:t>
            </w:r>
          </w:p>
        </w:tc>
        <w:tc>
          <w:tcPr>
            <w:tcW w:type="dxa" w:w="171"/>
            <w:tcBorders>
              <w:top w:val="nil"/>
              <w:left w:val="single" w:color="d9d9d9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8894"/>
            <w:gridSpan w:val="4"/>
            <w:vMerge w:val="continue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</w:tcPr>
          <w:p/>
        </w:tc>
        <w:tc>
          <w:tcPr>
            <w:tcW w:type="dxa" w:w="171"/>
            <w:tcBorders>
              <w:top w:val="nil"/>
              <w:left w:val="single" w:color="d9d9d9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278" w:hRule="atLeast"/>
        </w:trPr>
        <w:tc>
          <w:tcPr>
            <w:tcW w:type="dxa" w:w="2414"/>
            <w:tcBorders>
              <w:top w:val="single" w:color="d9d9d9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937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sz w:val="26"/>
                <w:szCs w:val="26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>Prestatiecode</w:t>
            </w:r>
          </w:p>
        </w:tc>
        <w:tc>
          <w:tcPr>
            <w:tcW w:type="dxa" w:w="2603"/>
            <w:tcBorders>
              <w:top w:val="single" w:color="d9d9d9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937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sz w:val="26"/>
                <w:szCs w:val="26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>Consulttype</w:t>
            </w:r>
          </w:p>
        </w:tc>
        <w:tc>
          <w:tcPr>
            <w:tcW w:type="dxa" w:w="1550"/>
            <w:tcBorders>
              <w:top w:val="single" w:color="d9d9d9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937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sz w:val="26"/>
                <w:szCs w:val="26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 xml:space="preserve"> Duur vanaf </w:t>
            </w:r>
          </w:p>
        </w:tc>
        <w:tc>
          <w:tcPr>
            <w:tcW w:type="dxa" w:w="2326"/>
            <w:tcBorders>
              <w:top w:val="single" w:color="d9d9d9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937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sz w:val="26"/>
                <w:szCs w:val="26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 xml:space="preserve"> Tarief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CO0018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Diagnostiek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5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50,13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CO0083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Behandeling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5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39,06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CO0148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Diagnostiek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15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86,28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CO0213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Behandeling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15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69,69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CO0278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Diagnostiek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143,84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CO0343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Behandeling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119,30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CO0408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Diagnostiek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45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201,28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CO0473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Behandeling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45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169,56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CO0538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Diagnostiek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60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229,67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CO0603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Behandeling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60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200,40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CO0668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Diagnostiek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75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279,57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CO0733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Behandeling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75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246,48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CO0798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Diagnostiek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90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342,79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CO0863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Behandeling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90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301,13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CO0928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Diagnostiek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120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492,09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CO0993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Behandeling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120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441,59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93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937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sz w:val="26"/>
                <w:szCs w:val="26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>Groepsbehandeling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937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sz w:val="26"/>
                <w:szCs w:val="26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>Groepsgrootte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937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sz w:val="26"/>
                <w:szCs w:val="26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 xml:space="preserve"> Blok_duur 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937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sz w:val="26"/>
                <w:szCs w:val="26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 xml:space="preserve"> Tarief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GC0003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2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73,55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GC0011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49,03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GC0019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4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36,77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GC0027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5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29,42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GC0035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6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24,52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GC0043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7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21,01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GC0051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8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18,39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GC0059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9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16,34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GC0067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10</w:t>
            </w:r>
          </w:p>
        </w:tc>
        <w:tc>
          <w:tcPr>
            <w:tcW w:type="dxa" w:w="1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30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14,71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062" w:hRule="atLeast"/>
        </w:trPr>
        <w:tc>
          <w:tcPr>
            <w:tcW w:type="dxa" w:w="241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rPr>
                <w:sz w:val="24"/>
                <w:szCs w:val="24"/>
                <w:shd w:val="nil" w:color="auto" w:fill="auto"/>
                <w:lang w:val="nl-NL"/>
              </w:rPr>
            </w:pPr>
          </w:p>
          <w:p>
            <w:pPr>
              <w:pStyle w:val="Normal.0"/>
              <w:spacing w:after="0" w:line="240" w:lineRule="auto"/>
              <w:rPr>
                <w:sz w:val="24"/>
                <w:szCs w:val="24"/>
                <w:shd w:val="nil" w:color="auto" w:fill="auto"/>
                <w:lang w:val="nl-NL"/>
              </w:rPr>
            </w:pPr>
          </w:p>
          <w:p>
            <w:pPr>
              <w:pStyle w:val="Normal.0"/>
              <w:spacing w:after="0" w:line="240" w:lineRule="auto"/>
              <w:rPr>
                <w:sz w:val="24"/>
                <w:szCs w:val="24"/>
                <w:shd w:val="nil" w:color="auto" w:fill="auto"/>
                <w:lang w:val="nl-NL"/>
              </w:rPr>
            </w:pPr>
          </w:p>
          <w:p>
            <w:pPr>
              <w:pStyle w:val="Normal.0"/>
              <w:spacing w:after="0" w:line="240" w:lineRule="auto"/>
              <w:rPr>
                <w:sz w:val="24"/>
                <w:szCs w:val="24"/>
                <w:shd w:val="nil" w:color="auto" w:fill="auto"/>
                <w:lang w:val="nl-NL"/>
              </w:rPr>
            </w:pPr>
          </w:p>
          <w:p>
            <w:pPr>
              <w:pStyle w:val="Normal.0"/>
              <w:spacing w:after="0" w:line="240" w:lineRule="auto"/>
              <w:rPr>
                <w:sz w:val="24"/>
                <w:szCs w:val="24"/>
                <w:shd w:val="nil" w:color="auto" w:fill="auto"/>
                <w:lang w:val="nl-NL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lang w:val="nl-NL"/>
              </w:rPr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2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24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nl-NL"/>
              </w:rPr>
            </w:r>
          </w:p>
        </w:tc>
        <w:tc>
          <w:tcPr>
            <w:tcW w:type="dxa" w:w="15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7" w:hRule="atLeast"/>
        </w:trPr>
        <w:tc>
          <w:tcPr>
            <w:tcW w:type="dxa" w:w="24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862" w:hRule="atLeast"/>
        </w:trPr>
        <w:tc>
          <w:tcPr>
            <w:tcW w:type="dxa" w:w="2414"/>
            <w:tcBorders>
              <w:top w:val="nil"/>
              <w:left w:val="nil"/>
              <w:bottom w:val="single" w:color="d9d9d9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rPr>
                <w:sz w:val="24"/>
                <w:szCs w:val="24"/>
                <w:shd w:val="nil" w:color="auto" w:fill="auto"/>
                <w:lang w:val="nl-NL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lang w:val="nl-NL"/>
              </w:rPr>
            </w:r>
          </w:p>
        </w:tc>
        <w:tc>
          <w:tcPr>
            <w:tcW w:type="dxa" w:w="2603"/>
            <w:tcBorders>
              <w:top w:val="nil"/>
              <w:left w:val="nil"/>
              <w:bottom w:val="single" w:color="d9d9d9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0"/>
            <w:tcBorders>
              <w:top w:val="nil"/>
              <w:left w:val="nil"/>
              <w:bottom w:val="single" w:color="d9d9d9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26"/>
            <w:tcBorders>
              <w:top w:val="nil"/>
              <w:left w:val="nil"/>
              <w:bottom w:val="single" w:color="d9d9d9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2" w:hRule="atLeast"/>
        </w:trPr>
        <w:tc>
          <w:tcPr>
            <w:tcW w:type="dxa" w:w="8894"/>
            <w:gridSpan w:val="4"/>
            <w:vMerge w:val="restart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52"/>
                <w:szCs w:val="52"/>
                <w:u w:color="ff0000"/>
                <w:shd w:val="nil" w:color="auto" w:fill="auto"/>
                <w:rtl w:val="0"/>
                <w:lang w:val="nl-NL"/>
                <w14:textFill>
                  <w14:solidFill>
                    <w14:srgbClr w14:val="FF0000"/>
                  </w14:solidFill>
                </w14:textFill>
              </w:rPr>
              <w:t>Generieke tarieven in kwaliteitsstatuut sectie II</w:t>
            </w:r>
          </w:p>
        </w:tc>
        <w:tc>
          <w:tcPr>
            <w:tcW w:type="dxa" w:w="171"/>
            <w:tcBorders>
              <w:top w:val="nil"/>
              <w:left w:val="single" w:color="d9d9d9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63" w:hRule="atLeast"/>
        </w:trPr>
        <w:tc>
          <w:tcPr>
            <w:tcW w:type="dxa" w:w="8894"/>
            <w:gridSpan w:val="4"/>
            <w:vMerge w:val="continue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</w:tcPr>
          <w:p/>
        </w:tc>
        <w:tc>
          <w:tcPr>
            <w:tcW w:type="dxa" w:w="171"/>
            <w:tcBorders>
              <w:top w:val="nil"/>
              <w:left w:val="single" w:color="d9d9d9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278" w:hRule="atLeast"/>
        </w:trPr>
        <w:tc>
          <w:tcPr>
            <w:tcW w:type="dxa" w:w="2414"/>
            <w:tcBorders>
              <w:top w:val="single" w:color="d9d9d9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937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sz w:val="26"/>
                <w:szCs w:val="26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>Prestatiecode</w:t>
            </w:r>
          </w:p>
        </w:tc>
        <w:tc>
          <w:tcPr>
            <w:tcW w:type="dxa" w:w="4153"/>
            <w:gridSpan w:val="2"/>
            <w:tcBorders>
              <w:top w:val="single" w:color="d9d9d9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2937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sz w:val="26"/>
                <w:szCs w:val="26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> </w:t>
            </w:r>
          </w:p>
        </w:tc>
        <w:tc>
          <w:tcPr>
            <w:tcW w:type="dxa" w:w="2326"/>
            <w:tcBorders>
              <w:top w:val="single" w:color="d9d9d9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9378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sz w:val="26"/>
                <w:szCs w:val="26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 xml:space="preserve"> Tarief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OV0007</w:t>
            </w:r>
          </w:p>
        </w:tc>
        <w:tc>
          <w:tcPr>
            <w:tcW w:type="dxa" w:w="41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Intercollegiaal overleg kort &gt;5 min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23,58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OV0008</w:t>
            </w:r>
          </w:p>
        </w:tc>
        <w:tc>
          <w:tcPr>
            <w:tcW w:type="dxa" w:w="41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Intercollegiaal overleg lang &gt;15 min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71,88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OV0012</w:t>
            </w:r>
          </w:p>
        </w:tc>
        <w:tc>
          <w:tcPr>
            <w:tcW w:type="dxa" w:w="41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Niet-basispakketzorg consult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124,16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TC0009</w:t>
            </w:r>
          </w:p>
        </w:tc>
        <w:tc>
          <w:tcPr>
            <w:tcW w:type="dxa" w:w="41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Reistijd tot 25 minuten - ggz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32,71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TC0010</w:t>
            </w:r>
          </w:p>
        </w:tc>
        <w:tc>
          <w:tcPr>
            <w:tcW w:type="dxa" w:w="41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Reistijd vanaf 25 minuten - ggz</w:t>
            </w:r>
          </w:p>
        </w:tc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 €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 xml:space="preserve">84,34 </w:t>
            </w:r>
          </w:p>
        </w:tc>
        <w:tc>
          <w:tcPr>
            <w:tcW w:type="dxa" w:w="1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2" w:hRule="atLeast"/>
        </w:trPr>
        <w:tc>
          <w:tcPr>
            <w:tcW w:type="dxa" w:w="241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60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2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ind w:left="5" w:hanging="5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276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>
        <w:rtl w:val="0"/>
        <w:lang w:val="nl-NL"/>
      </w:rPr>
      <w:t xml:space="preserve">Pagina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  <w:r>
      <w:rPr>
        <w:rtl w:val="0"/>
        <w:lang w:val="nl-NL"/>
      </w:rPr>
      <w:t xml:space="preserve"> van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NUMPAGES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